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6929"/>
      </w:tblGrid>
      <w:tr w:rsidR="00BA22B5" w:rsidRPr="00BA22B5" w:rsidTr="00BA2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Nº de consulta</w:t>
            </w:r>
          </w:p>
        </w:tc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V4053-15</w:t>
            </w:r>
          </w:p>
        </w:tc>
      </w:tr>
      <w:tr w:rsidR="00BA22B5" w:rsidRPr="00BA22B5" w:rsidTr="00BA2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Órgano</w:t>
            </w:r>
          </w:p>
        </w:tc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SG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Tasas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Precios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Públicos</w:t>
            </w:r>
          </w:p>
        </w:tc>
      </w:tr>
      <w:tr w:rsidR="00BA22B5" w:rsidRPr="00BA22B5" w:rsidTr="00BA2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 xml:space="preserve">Fecha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salida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16/12/2015</w:t>
            </w:r>
          </w:p>
        </w:tc>
      </w:tr>
      <w:tr w:rsidR="00BA22B5" w:rsidRPr="00BA22B5" w:rsidTr="00BA2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Normativa</w:t>
            </w:r>
          </w:p>
        </w:tc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TRLITPAJD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RDLeg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1/1993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. 1, 7, 28 y 31</w:t>
            </w:r>
          </w:p>
        </w:tc>
      </w:tr>
      <w:tr w:rsidR="00BA22B5" w:rsidRPr="00BA22B5" w:rsidTr="00BA2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proofErr w:type="spellStart"/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Descripción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hechos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Una sentencia de 31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julio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2015, con declaración de firmeza de día 15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octubre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2015, de un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Juzgado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Instancia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declaró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pleno dominio por usucapión de determinadas fincas rústicas a favor de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consultantes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que las han adquirido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50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ciento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en pro indiviso para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sociedad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conyugal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haber estado en posesión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aquellas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concepto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dueños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manera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pública, pacífica 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ininterrumpida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durante más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treinta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años. Para inscribir en el Registro de la Propiedad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titularidad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las fincas indicadas en concepto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dueños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precisa acreditar el pago de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correspondan a la liquidación del documento que se pretende inscribir. </w:t>
            </w:r>
          </w:p>
        </w:tc>
      </w:tr>
      <w:tr w:rsidR="00BA22B5" w:rsidRPr="00BA22B5" w:rsidTr="00BA2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 xml:space="preserve">Cuestión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planteada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Si la adquisición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o usucapión está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Actos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 y, en caso afirmativo, si estaría prescrito, dado que las fincas afectadas por la declaración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consta que son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poseídas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consultantes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título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dueños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más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treinta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años (en concreto,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llevan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ellas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60 años y se comportan como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dueños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). </w:t>
            </w:r>
          </w:p>
        </w:tc>
      </w:tr>
      <w:tr w:rsidR="00BA22B5" w:rsidRPr="00BA22B5" w:rsidTr="00BA2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gl-ES"/>
              </w:rPr>
              <w:t>Contestación completa</w:t>
            </w:r>
          </w:p>
        </w:tc>
        <w:tc>
          <w:tcPr>
            <w:tcW w:w="0" w:type="auto"/>
            <w:vAlign w:val="center"/>
            <w:hideMark/>
          </w:tcPr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En relación con la cuestión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planteada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escrito de consulta, este Centro directivo informa lo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 del texto refundido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Actos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Documentados, aprobado por el Real Decreto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Legislativo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1/1993, de 24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septiembre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(BOE de 20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octubre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1993) –en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adelante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TRLITPAJD– establece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términos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«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1.º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1.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Actos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 es un tributo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naturaleza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indirecta que,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términos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establecidos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gravará: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1.º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2.º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operaciones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societarias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3.º Los actos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2. En ningún caso, un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acto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podrá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ser liquidado por el concepto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 y por el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operaciones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societarias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».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Además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para determinar la existencia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 del TRLITPAJD determina lo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«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2.º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1.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exigirá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arreglo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verdadera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naturaleza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acto o contrato liquidable,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cualquiera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 denominación que las partes le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hayan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dado,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prescindiendo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los defectos, tanto de forma como intrínsecos,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puedan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afectar 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validez y eficacia.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[…]».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En cuanto 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 cuestión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planteada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7 del TRLITPAJD, regula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modo: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«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7.º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1. Son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: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A)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 por actos “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inter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vivos” de toda clase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integren el patrimonio de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personas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físicas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B) La constitución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préstamos, fianzas,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arrendamientos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pensiones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concesiones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administrativas, salvo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estas últimas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tengan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 cesión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utilizar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infraestructuras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ferroviarias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inmuebles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instalaciones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puertos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aeropuertos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Se liquidará como constitución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 ampliación posterior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contenido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implique para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titular un incremento patrimonial,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servirá de base para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exigencia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tributo.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2. Se considerarán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efectos de liquidación y pago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A)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adjudicaciones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pago y para pago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deudas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así como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adjudicaciones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expresas en pago de asunción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deudas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adjudicatarios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para pago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deudas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acrediten haber transmitido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acreedor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solvencia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crédito, dentro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plazo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dos años,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les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fueron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adjudicados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los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justifiquen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haberlos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transmitido a un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tercero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para este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dentro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plazo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podrán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exigir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 devolución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satisfecho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tales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adjudicaciones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B) Los excesos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adjudicación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declarados, salvo los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surjan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dar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cumplimiento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lo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dispuesto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821, 829, 1.056 (segundo) y 1.062 (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) del Código Civil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Disposiciones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Foral,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basadas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fundamento.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En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sucesiones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causa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muerte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liquidarán como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 los excesos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adjudicación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valor comprobado de lo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adjudicado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uno de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herederos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legatarios exceda del 50 por 100 del valor que les correspondería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virtud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título, salvo en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que los valores declarados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iguales o superiores a los que resultarían de la aplicación de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reglas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el Patrimonio.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C) Los expedientes de dominio, las actas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notoriedad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las actas complementarias de documentos públicos a que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refiere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Título VI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Hipotecaria y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certificaciones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expedidas a los efectos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206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a menos que se acredite haber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satisfecho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la exención o no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la transmisión,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cuyo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título se supla con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ellos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por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unos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u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otras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salvo en cuanto 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cuyo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plazo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computará desde la fecha del expediente, acta o certificación.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D)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reconocimientos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dominio en favor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persona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determinada, con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salvedad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apartado anterior.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3. Las condiciones resolutorias explícitas de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compraventas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que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refiere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11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Hipotecaria se equipararán a las hipotecas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garanticen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pago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precio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aplazado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finca vendida. Las condiciones resolutorias explícitas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garanticen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pago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precio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aplazado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empresariales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inmuebles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no exentas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el Valor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Añadido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no tributarán ni en este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ni en el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régimen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aplicará a las hipotecas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garanticen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precio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aplazado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empresariales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inmuebles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constituidas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transmitidos.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4. A los efectos de este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los contratos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aparcería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los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subarriendo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equipararán a los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arrendamiento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5. No estarán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concepto de “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onerosas”, regulado en el presente Título,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operaciones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enumeradas anteriormente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realizadas por empresarios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profesionales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ejercicio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actividad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empresarial o profesional y,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cualquier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caso,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constituyan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entregas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prestaciones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servicios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el Valor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Añadido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No obstante, quedarán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dicho concepto impositivo las entregas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arrendamientos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inmuebles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así como la constitución y transmisión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uso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disfrute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recaigan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gocen de exención en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el Valor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Añadido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También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quedarán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las entregas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aquellos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inmuebles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estén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incluidos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la transmisión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totalidad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un patrimonio empresarial,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las circunstancias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concurrentes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 transmisión de este patrimonio no quede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el Valor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Añadido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».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Por último, en cuanto 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actos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documentados, documentos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28 y 31 determinan lo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«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28.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Están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las escrituras, actas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testimonios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términos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establece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31».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«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31.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1. Las matrices y las copias de las escrituras y actas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así como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testimonios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extenderán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en todo caso, en papel timbrado de 0,30 euros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pliego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0,15 euros por folio, a elección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fedatario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Las copias simples no estarán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2.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copias de escrituras y actas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tengan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cantidad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cosa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valuable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contengan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actos o contratos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inscribibles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Registros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 Propiedad, Mercantil, de la Propiedad Industrial y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Muebles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Sucesiones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a los conceptos comprendidos en los números 1 y 2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 de esta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tributarán,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además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tipo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gravamen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que, conforme a lo previsto en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21/2001, de 27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diciembre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 la que se regulan las medidas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fiscales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administrativas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nuevo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sistema de financiación de las Comunidades Autónomas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régimen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común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Ciudades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 Estatuto de Autonomía,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haya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sido aprobado por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Comunidad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Autónoma.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[…]».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1.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acuerdo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 los preceptos transcritos, para determinar la existencia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 del ITPAJD, lo que procede efectuar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lugar es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calificación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acto o contrato realizado, a fin de comprobar si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encaja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alguno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supuestos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gravamen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Y para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ello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debe acudirse a la normativa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sustantiva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; en este caso,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Código Civil, que regula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(usucapión)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609 y 1930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En concreto,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609 del Código Civil, que regula los modos de adquirir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dispone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«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609.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adquiere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la ocupación.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demás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adquieren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transmiten por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 sucesión testada e intestada, y por consecuencia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ciertos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contratos mediante la tradición.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Pueden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también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adquirirse por medio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».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La enumeración de modos de adquisición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recogida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precepto transcrito ha sido criticada por parte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doctrina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señala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no es exhaustiva,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ya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no contempla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otros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modos existentes de adquisición (la accesión, regulada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353 a 383 del Código Civil) y frecuentemente induce a confusión,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ya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ni indica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cuáles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son los contratos que la producen,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referirse a "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ciertos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contratos mediante la tradición,” ni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justifica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que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aparezca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modo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aislado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no como contrato que es.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Para sistematizar los distintos modos de adquisición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doctrina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científica los ha clasificado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originarios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derivativos en función de si se produce una adquisición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primigenia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–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porque antes no existía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a través de esta adquisición se crea,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hacen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surgir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dominio sobre la cosa,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independientemente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un título anterior – o si la adquisición se produce a consecuencia de un traspaso de una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ya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existente.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llamados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derivativos es precisa la intervención de más de una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persona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(de una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manera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u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otra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una relación contractual o no),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mientras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originarios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no,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ya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se crean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margen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voluntad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común o a través de actos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unilaterales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individuo. Así, los modos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recogidos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Código Civil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pueden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encuadrar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modo (no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incluye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modo de adquisición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habrá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estarse a cada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concreto, para determinar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naturaleza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y porque todos los modos, en el fondo,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adquieren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porque así lo establece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–por accesión y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 ocupación y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etc.–):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Originarios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Accesión, ocupación,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Derivativos: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sucesión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ciertos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contratos mediante la tradición (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compraventa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permuta, etc.).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En cuanto a la tradición,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entiende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tal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acto por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un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entrega 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otro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 posesión de una cosa determinada.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sí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misma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la tradición no es un modo de adquisición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si no va acompañada de un título suficiente que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legitime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el simple traspaso posesorio no pasa de ser una cuestión material,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implique transmisión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es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ello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609 del Código Civil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habla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“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ciertos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contratos mediante la tradición" (sistema del título y el modo: el título sería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justificación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legitimación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mientras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el modo implica la entrega –material, simbólica o instrumental– de la posesión o del poder sobre la cosa).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En esta clasificación,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o usucapión debe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encuadrarse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grupo,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pues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aunque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exista una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anterior, la adquisición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usucapido no se produce por la tradición, sino por la mera posesión de la cosa, con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título (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ordinaria) o incluso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título (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extraordinaria).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A todo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ello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refiere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Código Civil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1930, 1940 y 1949,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disponen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siguiente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«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1930.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Por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adquieren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manera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con las condiciones determinadas en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el dominio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demás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También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extinguen del propio modo por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las acciones,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cualquier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clase que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sean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».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«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1940.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Para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ordinaria del dominio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demás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se necesita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poseer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las cosas con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buena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fe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título por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tiempo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determinado en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».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«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1949.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Contra un título inscrito en el Registro de la Propiedad no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tendrá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lugar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ordinaria del dominio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perjuicio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tercero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sino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virtud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otro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título igualmente inscrito,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debiendo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empezar a correr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tiempo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desde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segundo».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Una vez analizado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derecho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sustantivo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sobre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o usucapión, debe examinarse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presupuesto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objetivo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 del ITPAJD.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Pues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bien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de la mera lectura de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1.1.1º y 7.1 del TRLITPJD, se deduce claramente que el ámbito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objetivo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es más reducido que el de los modos de adquisición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pues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exige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dos requisitos que no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concurren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todos los modos regulados en el Código Civil: la transmisión y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onerosidad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ello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no deben estar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llamados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modos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originarios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–accesión, ocupación,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adquisitiva–, por faltar la transmisión (la tradición del Código Civil), ni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donación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ni la sucesión, testada o intestada, por faltar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onerosidad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Por lo tanto, cabe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concluir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la adquisición de una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o usucapión no está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 del ITPAJD por tratarse de una adquisición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originaria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y, por tanto, faltar uno de los elementos que configuran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esta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la transmisión.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2. Actos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documentados, documentos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.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28 del TRLITPAJD, transcrito anteriormente,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señala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están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esta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las escrituras, actas y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testimonios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en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términos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que establece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31, precepto que regulas dos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cuotas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impositivas –la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cuota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fija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cuota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gradual– y que grava las matrices y las copias de las escrituras y actas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así como los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testimonios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(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cuota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fija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) y 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copias de escrituras y actas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(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cuota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gradual).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En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planteado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por 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consultante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la adquisición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las fincas se ha producido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adquisitiva,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virtud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la posesión en concepto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dueños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y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manera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pública, pacífica 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ininterrumpida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durante más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treinta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años, y se ha declarado mediante sentencia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un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Juzgado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Instancia que ha adquirido firmeza, que será el documento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inscribible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Registro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propiedad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Por tanto,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tampoco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cabe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tal adquisición 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actos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documentados, documentos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 faltar el elemento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objetivo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gravamen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que es la escritura, acta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testimonio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notarial.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Las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consideraciones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expuestas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esta contestación rectifican el criterio de este Centro Directivo vertido en anteriores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resoluciones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CONCLUSIONES: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Primera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: La adquisición de unas fincas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o usucapión, declarada en sentencia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firme, no está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transmisiones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patrimoniales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onerosas del ITPAJD, por faltar uno de los elementos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objetivos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presupuesto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cual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es la transmisión (no se produce la tradición a la que se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refiere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el Código Civil en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609).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Segunda: La adquisición de unas fincas por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prescripción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adquisitiva o usucapión, declarada en sentencia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firme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tampoco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está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sujeta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a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modalidad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actos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jurídicos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documentados, documentos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notariales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por faltar el elemento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objetivo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presupuesto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hecho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imponible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(escritura, acta 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testimonio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notarial),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haberse declarado en sentencia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judicial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</w:t>
            </w:r>
          </w:p>
          <w:p w:rsidR="00BA22B5" w:rsidRPr="00BA22B5" w:rsidRDefault="00BA22B5" w:rsidP="00BA2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Lo que comunico 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Vd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. con efectos vinculantes, conforme a lo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dispuesto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en el apartado 1 del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artículo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89 de la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Ley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58/2003, de 17 de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diciembre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, </w:t>
            </w:r>
            <w:proofErr w:type="spellStart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>General</w:t>
            </w:r>
            <w:proofErr w:type="spellEnd"/>
            <w:r w:rsidRPr="00BA22B5"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  <w:t xml:space="preserve"> Tributaria. </w:t>
            </w:r>
          </w:p>
        </w:tc>
      </w:tr>
    </w:tbl>
    <w:p w:rsidR="009D3C80" w:rsidRDefault="009D3C80">
      <w:bookmarkStart w:id="0" w:name="_GoBack"/>
      <w:bookmarkEnd w:id="0"/>
    </w:p>
    <w:sectPr w:rsidR="009D3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B5"/>
    <w:rsid w:val="009D3C80"/>
    <w:rsid w:val="00B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1C7F-0823-49B6-9980-D3217012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641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199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Facenda</Company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 Rodríguez, Rubén</dc:creator>
  <cp:keywords/>
  <dc:description/>
  <cp:lastModifiedBy>Balo Rodríguez, Rubén</cp:lastModifiedBy>
  <cp:revision>1</cp:revision>
  <dcterms:created xsi:type="dcterms:W3CDTF">2021-06-24T11:04:00Z</dcterms:created>
  <dcterms:modified xsi:type="dcterms:W3CDTF">2021-06-24T11:07:00Z</dcterms:modified>
</cp:coreProperties>
</file>